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Технологии проектирования адаптированного образовательного пространства для обучающихся с ОВЗ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Формирование у магистрантов готовности к применению системы компетенций в области проектирования адаптированного образовательного пространства для обучающихся с ОВЗ.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«Технологии проектирования адаптированного образовательного пространства для обучающихся с ОВЗ» относится к базовой части блока дисциплин и является дисциплиной по выбору.</w:t>
      </w:r>
    </w:p>
    <w:p w:rsidR="00FB1240" w:rsidRPr="00006DC2" w:rsidRDefault="00FB1240" w:rsidP="00641A73">
      <w:r w:rsidRPr="00006DC2">
        <w:t>Освоение данной дисциплины является необходимой основой для последующего изучения дисциплин «Коррекционные и развивающие программы в психологическом исследовании», «Психологическое здоровье личности: диагностика и профилактика».</w:t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  <w:bookmarkStart w:id="0" w:name="_GoBack"/>
      <w:bookmarkEnd w:id="0"/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 (ОПК-6).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556D26" w:rsidRDefault="00FB1240" w:rsidP="00FB1240">
      <w:pPr>
        <w:rPr>
          <w:lang w:val="en-US"/>
        </w:rPr>
      </w:pPr>
      <w:r w:rsidRPr="00556D26">
        <w:rPr>
          <w:lang w:val="en-US"/>
        </w:rPr>
        <w:t>– основы применения коррекционно-развивающих технологий, специальных методов и приемов, необходимых для организации учебной и воспитательной деятельности с учетом индивидуальных особенностей обучения в инклюзивной среде обучающихся с ограниченными возможностями здоровья;</w:t>
        <w:br/>
        <w:t>– диагностические методики выявления особых образовательных потребностей обучающихся с ограниченными возможностями здоровья и инвалидностью;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556D26" w:rsidRDefault="00FB1240" w:rsidP="00641A73">
      <w:pPr>
        <w:rPr>
          <w:lang w:val="en-US"/>
        </w:rPr>
      </w:pPr>
      <w:r w:rsidRPr="00556D26">
        <w:rPr>
          <w:lang w:val="en-US"/>
        </w:rPr>
        <w:t>– организовать специальные образовательные условия в соответствии с индивидуальными образовательными потребностями обучающихся в условиях специального и инклюзивного образования в соответствии с ФГОС обучающихся с ограниченными возможностями здоровья, ФГОС обучающихся с умственной отсталостью (интеллектуальными нарушениями);</w:t>
        <w:br/>
        <w:t>– использовать знания об особенностях психофизического развития обучающихся с ограниченными возможностями здоровья для планирования и реализации индивидуального образовательного маршрута;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t>– технологией разработки адаптированной общеобразовательной программы в соответствии с ФГОС обучающихся с ограниченными возможностями здоровья, ФГОС обучающихся с умственной отсталостью (интеллектуальными нарушениями);</w:t>
        <w:br/>
        <w:t>– готовностью выстраивать личную траекторию развития обучающегося на основе принципов специальной педагогики и психологии.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2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72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8</w:t>
      </w:r>
      <w:r w:rsidRPr="00006DC2">
        <w:t xml:space="preserve"> ч., СРС – </w:t>
      </w:r>
      <w:r w:rsidR="00517EB5" w:rsidRPr="00006DC2">
        <w:t>64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лето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>зачёт (1 курс, лето)</w:t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Нормативно-правовые основы получения образования лицами с ОВЗ.</w:t>
        <w:br/>
        <w:t> Международно-правовая основа инклюзивного образования. Конвенция о правах инвалидов и Саламанкская декларация. Документы, регламентирующие развитие инклюзивного процесса в образовании в РФ. Закон «Об образовании в РФ». Концепция развития ранней помощи. ФГОС дошкольного образования. ФГОС обучающихся с ОВЗ. ФГОС обучающихся с интеллектуальной недостаточностью. Перспективы развития инклюзивного образования. Федеральные и региональные целевые программы в сфере инклюзивного образования.</w:t>
        <w:br/>
        <w:t/>
        <w:br/>
        <w:t>Технологии проектирования адаптированного образовательного пространства для обучаюхихся с ОВЗ.</w:t>
        <w:br/>
        <w:t> Учебно-методическое, кадровое, материально-техническое обеспечение адаптированного образовательного пространства для обучающихся с ОВЗ. Проектирование адаптированного образовательного пространства для обучающихся с нарушением слуха, зрения, тяжелыми нарушениями речи, нарушениями опорно-двигательного аппарата, задержкой психического развития, расстройствами аутистического спектра, интеллектуальной недостаточностью, комплексными нарушениями, с общими заболеваниями. Особенности организации педагогического сопровождения обучающихся с ограниченными возможностями здоровья в условиях инклюзивного образования.</w:t>
        <w:br/>
        <w:t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Е.П. Хвастунова, кандидат социологических наук, доцент кафедры специальной педагогики и психологии ФГБОУ ВО "ВГСПУ".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8" w:rsidRDefault="00E83518">
      <w:r>
        <w:separator/>
      </w:r>
    </w:p>
  </w:endnote>
  <w:endnote w:type="continuationSeparator" w:id="0">
    <w:p w:rsidR="00E83518" w:rsidRDefault="00E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8" w:rsidRDefault="00E83518">
      <w:r>
        <w:separator/>
      </w:r>
    </w:p>
  </w:footnote>
  <w:footnote w:type="continuationSeparator" w:id="0">
    <w:p w:rsidR="00E83518" w:rsidRDefault="00E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52B4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22</cp:revision>
  <cp:lastPrinted>2009-09-30T09:50:00Z</cp:lastPrinted>
  <dcterms:created xsi:type="dcterms:W3CDTF">2016-01-09T11:49:00Z</dcterms:created>
  <dcterms:modified xsi:type="dcterms:W3CDTF">2017-04-18T19:15:00Z</dcterms:modified>
</cp:coreProperties>
</file>