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Психологические особенности коммуникации в разных культурах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Подготовка специалистов к выполнению профессиональной деятельности в области теории и практики межкультурных коммуникаций и оптимизации межкультурного взаимодействия в образовательной среде.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«Психологические особенности коммуникации в разных культурах» относится к базовой части блока дисциплин и является дисциплиной по выбору.</w:t>
      </w:r>
    </w:p>
    <w:p w:rsidR="00FB1240" w:rsidRPr="00006DC2" w:rsidRDefault="00FB1240" w:rsidP="00641A73">
      <w:r w:rsidRPr="00006DC2">
        <w:t>Освоение данной дисциплины является необходимой основой для последующего изучения дисциплин «Практикум по проектированию психологически безопасной среды», «Практикум по профессиональной коммуникации».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анализировать и учитывать разнообразие культур в процессе межкультурного взаимодействия (УК-5);</w:t>
        <w:br/>
        <w:t>– способен создавать и реализовывать условия и принципы духовно-нравственного воспитания обучающихся на основе базовых национальных ценностей (ОПК-4).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теоретико-методологические основы психологии межкультурных коммуникаций;</w:t>
        <w:br/>
        <w:t>– теории и модели межкультурных коммуникаций; типологизацию культур; особенности межкультурной вербальной и невербальной коммуникации; базовые национальные ценности русской культуры;</w:t>
        <w:br/>
        <w:t>– cтили межкультурного конфликтного взаимодействия и разрешения конфликтов в различных культурах, психологические механизмы адаптации в инокультурной среде;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анализировать и учитывать разнообразие культур в процессе межкультурного взаимодействия;</w:t>
        <w:br/>
        <w:t>– использовать модели и концепции межкультурных коммуникаций для анализа различных ситуаций межкультурного взаимодействия;</w:t>
        <w:br/>
        <w:t>– соотносить профессиональные знания, полученные в рамках специализации с современной реальностью межкультурных отношений;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навыками психологического анализа причин неудач и барьеров понимания в межкультурной коммуникации;</w:t>
        <w:br/>
        <w:t>– технологиями духовно-нравственного воспитания обучающихся на основе базовых национальных ценностей;</w:t>
        <w:br/>
        <w:t>– способами организации конструктивного межкультурного взаимодействия с участниками образовательного процесса.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10</w:t>
      </w:r>
      <w:r w:rsidRPr="00006DC2">
        <w:t xml:space="preserve"> ч., СРС – </w:t>
      </w:r>
      <w:r w:rsidR="00517EB5" w:rsidRPr="00006DC2">
        <w:t>62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зима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зима)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Психология межкультурной коммуникации в образовательной среде..</w:t>
        <w:br/>
        <w:t> Понятие и сущность межкультурной коммуникации. Межкультурная коммуникация и проблемы образовательной среды. Межкультурная компетентность как условие эффективного межкультурного взаимодействия.</w:t>
        <w:br/>
        <w:t/>
        <w:br/>
        <w:t>Многообразие культурных миров: психологические особенности взаимодействия с представителями различных культур..</w:t>
        <w:br/>
        <w:t> Психология и антропология культуры: основные понятия и проблемы. Типология культур. Этнокультурные и социальные аспекты глобальных мировых процессов. Русская культура в контексте межкультурной коммуникации. Этническая и культурная идентичность.Специфика межкультурной коммуникации с представителями конкретного региона (культуры).</w:t>
        <w:br/>
        <w:t/>
        <w:br/>
        <w:t>Технологии оптимизации межкультурного взаимодействия..</w:t>
        <w:br/>
        <w:t> Оценка межкультурной компетентности педагога и ученика. Культура в контексте нормативно-правовых и этических проблем образования. Профилактика и разрешение межкультурных конфликтов в образовательной среде. Межкультурные проекты в профессиональной деятельности педагога. Технологии оптимизации межкультурного взаимодействия в конкретных профессиональных ситуациях.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Бобрышева Инна Владимировна, кандидат педагогических наук, доцент кафедры психологии профессиональной деятельности ФГБОУ ВО "ВГСПУ".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