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Педагогическая коммуникация в гипермедиа формате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опыта педагогических коммуникаций в гипермедиа формате и готовности обучающихся к саморазвитию информационной компетенции.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«Педагогическая коммуникация в гипермедиа формате» относится к базовой части блока дисциплин.</w:t>
      </w:r>
    </w:p>
    <w:p w:rsidR="00FB1240" w:rsidRPr="00006DC2" w:rsidRDefault="00FB1240" w:rsidP="00641A73">
      <w:r w:rsidRPr="00006DC2">
        <w:t/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возможности коммуникационных технологий и соответствующего программного обеспечения при решении задач профессиональной деятельности, для академического и профессионального взаимодействия;</w:t>
        <w:br/>
        <w:t>– требования к презентации как электронному образовательному ресурсу и как сопровождению речи спикера (дидактические требования, требования к содержанию, дизайну, используемым объектам, навигации);</w:t>
        <w:br/>
        <w:t>– технолого-дидактические требования к проведению вебинаров и созданию интеллект-карт;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выбирать оптимальные средства и приемы гипермедийной коммуникации для академического и профессионального взаимодействия (создание web-страниц, онлайн-опросов, коммуникация в чатах, на web-форумах, с помощью видеоконференц-связи и приложений Интернет-телефонии);</w:t>
        <w:br/>
        <w:t>– использовать инструментарий программы подготовки и просмотра презентации, а также онлайн сервисов по созданию вебинаров, презентаций и интеллект-карт для организации академического и профессионального взаимодействия и разработки электронных образовательных ресурсов;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опытом педагогической коммуникации в цифровой среде, осуществления коммуникации с помощью приложений Интернет-телефонии и видеоконференц-связи;</w:t>
        <w:br/>
        <w:t>– опытом разработки гипермедийной поддержки выступления спикера в аудитории и в сети Интернет; использования онлайн ресурса по созданию презентаций для подготовки электронного образовательного ресурса; проведения вебинара; построения интеллект-карт по теме проекта.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3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108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96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зима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зима)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Педагогическая коммуникация в цифровой среде.</w:t>
        <w:br/>
        <w:t> Коммуникация. Виды коммуникации. Педагогическая коммуникация. Коммуникационные технологии. Гипермедиа. Цифровая среда общества. Средства и приемы обмена гипермедиа сообщениями. Компьютерно опосредованная гипермедийная коммуникация в чатах, на web-форумах, с помощью видеоконференц-связи и приложений Интернет-телефонии. Web-страница как среда коммуникации в гипермедиа формате. Фиксация хода коллективной и личной коммуникации при реализации проектной деятельности. Процессы и механизмы управления коммуникациями. Онлайн-опросы для организации обратной связи в социальных и образовательных проектах.</w:t>
        <w:br/>
        <w:t/>
        <w:br/>
        <w:t>Академическое и профессиональное взаимодействие при разработке электронных образовательных ресурсов.</w:t>
        <w:br/>
        <w:t> Разработка гипермедийной поддержки выступления спикера в аудитории и в сети Интернет средствами программы подготовки и просмотра презентации. Технолого-дидактические основы проведения вебинаров и телеконференций по образовательно-просветительской тематике средствами сервисов сети Интернет. Распределенное создание презентаций как электронного образовательного ресурса. Требования к презентации различных видов: технологические и психолого-педагогические аспекты. Разработка интеллект-карты в режиме совместного доступа. Организация обратной связи в ходе проведения вебинара, создания распределенной презентации, а также разработки совместных интеллект-карт.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Кравченко Лариса Юрьевна, доцент кафедры методики преподавания математики и физики, ИКТ,</w:t>
        <w:br/>
        <w:t>Крючкова Катерина Сергеевна, доцент кафедры методики преподавания математики и физики, ИКТ,</w:t>
        <w:br/>
        <w:t>Смыковская Татьяна Константиновна, профессор кафедры методики преподавания математики и физики, ИКТ.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